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300"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color w:val="333333"/>
          <w:sz w:val="32"/>
          <w:szCs w:val="32"/>
          <w:lang w:eastAsia="ru-RU"/>
        </w:rPr>
        <w:t xml:space="preserve">Сочинение 2024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Итоговое сочинение традиционно пишут в первую среду декабря.</w:t>
      </w:r>
      <w:r>
        <w:rPr>
          <w:rFonts w:ascii="Times New Roman" w:hAnsi="Times New Roman" w:eastAsia="Times New Roman" w:cs="Times New Roman"/>
          <w:b/>
          <w:color w:val="333333"/>
          <w:sz w:val="32"/>
          <w:szCs w:val="32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2024-2025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учебном году первая среда декабря — это 4 декабря.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Резервные дни итогового сочинения в 2024/2025 учебном году выпадают на 5 февраля 2025 и 9 апреля 2025.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Не позднее, чем за две недели до начала проведения итогового сочинения (изложения) выпускники подают заявление.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420" w:lineRule="atLeast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375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Это экзамен, главная цель которого — проверить умение выпускников рассуждать на нравственно-этические темы, аргументировать свое мнение, привлекая литературные источники, причем необязательно из школьной программы.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375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Также оно служит допуском </w:t>
      </w:r>
      <w:hyperlink r:id="rId8" w:tooltip="http://ivo.garant.ru/#/document/406882488/paragraph/77:0" w:anchor="/document/406882488/paragraph/77: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eastAsia="ru-RU"/>
          </w:rPr>
          <w:t xml:space="preserve">к государственной итоговой аттестации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для выпускников одиннадцатых классов, в том числе к ЕГЭ. Для успешной сдачи нужно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брать минимум три балла из пяти.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375" w:line="240" w:lineRule="auto"/>
        <w:shd w:val="clear" w:color="auto" w:fill="ffffff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выпускник не сдаст сочинение с первого раза, есть еще две попытки: </w:t>
      </w:r>
      <w:hyperlink r:id="rId9" w:tooltip="http://ivo.garant.ru/#%2Fdocument%2F406882488%2Fparagraph%2F112%3A0" w:anchor="%2Fdocument%2F406882488%2Fparagraph%2F112%3A0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eastAsia="ru-RU"/>
          </w:rPr>
          <w:t xml:space="preserve">в первую среду февраля и вторую среду апреля.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Если провалить их все, ЕГЭ выпускник сдавать не будет, следующий шанс появится только через год. Вместо аттестата школьник получит справку.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r>
    </w:p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Как проходит итоговое сочинение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375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 текст из нескольких сотен слов выпускникам дают 3 часа 55 минут. Для сравнения: ЕГЭ по русскому с десятком разных заданий школьники пишут 3 часа 30 минут, так что времени для одной письменной работы достаточно.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 день экзамена ученики получают билет с шестью темами.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hyperlink r:id="rId10" w:tooltip="https://opis-cdn.tinkoffjournal.ru/mercury/03_Obrazec_komplekta_tem.pdf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eastAsia="ru-RU"/>
          </w:rPr>
          <w:t xml:space="preserve">Формулировки звучат примерно так:</w:t>
        </w:r>
      </w:hyperlink>
      <w:r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1. Духовно-нравственные ориентиры в жизни человека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1.1. Внутренний мир человека и его личностные качества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1.2. Отношение человека к другому человеку (окружению), нравственные идеалы и выбор между добром и злом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1.3. Познание человеком самого себя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1.4. Свобода человека и ее ограничения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2. Семья, общество, Отечество в жизни человека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2.1. Семья, род; семейные ценности и традиции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2.2. Человек и общество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2.3. Родина, государство, гражданская позиция человека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3. Природа и культура в жизни человека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36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3.1. Природа и человек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3.2. Наука и человек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3.3. Искусство и человек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  <w:t xml:space="preserve">3.4. Язык и языковая личность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375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Выпускник выбирает одну тему и пишет по ней рассуждение.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375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Результаты школьникам скажут в течение 12 дней.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37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  <w:highlight w:val="white"/>
        </w:rPr>
        <w:t xml:space="preserve">Федеральные документы по сочинению 2024, на </w:t>
      </w:r>
      <w:hyperlink r:id="rId11" w:tooltip="https://fipi.ru/itogovoe-sochinenie" w:history="1">
        <w:r>
          <w:rPr>
            <w:rStyle w:val="174"/>
            <w:rFonts w:ascii="Arial" w:hAnsi="Arial" w:eastAsia="Arial" w:cs="Arial"/>
            <w:b/>
            <w:color w:val="0000ff"/>
            <w:sz w:val="20"/>
            <w:highlight w:val="white"/>
            <w:u w:val="single"/>
          </w:rPr>
          <w:t xml:space="preserve">Федеральный</w:t>
        </w:r>
        <w:r>
          <w:rPr>
            <w:rStyle w:val="174"/>
            <w:rFonts w:ascii="Arial" w:hAnsi="Arial" w:eastAsia="Arial" w:cs="Arial"/>
            <w:color w:val="0000ff"/>
            <w:sz w:val="20"/>
            <w:highlight w:val="white"/>
            <w:u w:val="none"/>
          </w:rPr>
          <w:t xml:space="preserve"> </w:t>
        </w:r>
        <w:r>
          <w:rPr>
            <w:rStyle w:val="174"/>
            <w:rFonts w:ascii="Arial" w:hAnsi="Arial" w:eastAsia="Arial" w:cs="Arial"/>
            <w:b/>
            <w:color w:val="0000ff"/>
            <w:sz w:val="20"/>
            <w:highlight w:val="white"/>
            <w:u w:val="single"/>
          </w:rPr>
          <w:t xml:space="preserve">институт</w:t>
        </w:r>
        <w:r>
          <w:rPr>
            <w:rStyle w:val="174"/>
            <w:rFonts w:ascii="Arial" w:hAnsi="Arial" w:eastAsia="Arial" w:cs="Arial"/>
            <w:color w:val="0000ff"/>
            <w:sz w:val="20"/>
            <w:highlight w:val="white"/>
            <w:u w:val="none"/>
          </w:rPr>
          <w:t xml:space="preserve"> </w:t>
        </w:r>
        <w:r>
          <w:rPr>
            <w:rStyle w:val="174"/>
            <w:rFonts w:ascii="Arial" w:hAnsi="Arial" w:eastAsia="Arial" w:cs="Arial"/>
            <w:b/>
            <w:color w:val="0000ff"/>
            <w:sz w:val="20"/>
            <w:highlight w:val="white"/>
            <w:u w:val="single"/>
          </w:rPr>
          <w:t xml:space="preserve">педагогических</w:t>
        </w:r>
        <w:r>
          <w:rPr>
            <w:rStyle w:val="174"/>
            <w:rFonts w:ascii="Arial" w:hAnsi="Arial" w:eastAsia="Arial" w:cs="Arial"/>
            <w:color w:val="0000ff"/>
            <w:sz w:val="20"/>
            <w:highlight w:val="white"/>
            <w:u w:val="none"/>
          </w:rPr>
          <w:t xml:space="preserve"> </w:t>
        </w:r>
        <w:r>
          <w:rPr>
            <w:rStyle w:val="174"/>
            <w:rFonts w:ascii="Arial" w:hAnsi="Arial" w:eastAsia="Arial" w:cs="Arial"/>
            <w:b/>
            <w:color w:val="0000ff"/>
            <w:sz w:val="20"/>
            <w:highlight w:val="white"/>
            <w:u w:val="single"/>
          </w:rPr>
          <w:t xml:space="preserve">измерений</w:t>
        </w:r>
        <w:r>
          <w:rPr>
            <w:rStyle w:val="174"/>
            <w:rFonts w:ascii="Arial" w:hAnsi="Arial" w:eastAsia="Arial" w:cs="Arial"/>
            <w:color w:val="0000ff"/>
            <w:sz w:val="20"/>
            <w:highlight w:val="white"/>
            <w:u w:val="none"/>
          </w:rPr>
          <w:t xml:space="preserve"> (</w:t>
        </w:r>
        <w:r>
          <w:rPr>
            <w:rStyle w:val="174"/>
            <w:rFonts w:ascii="Arial" w:hAnsi="Arial" w:eastAsia="Arial" w:cs="Arial"/>
            <w:b/>
            <w:color w:val="0000ff"/>
            <w:sz w:val="20"/>
            <w:highlight w:val="white"/>
            <w:u w:val="single"/>
          </w:rPr>
          <w:t xml:space="preserve">ФИПИ</w:t>
        </w:r>
      </w:hyperlink>
      <w:r>
        <w:rPr>
          <w:rFonts w:ascii="Arial" w:hAnsi="Arial" w:eastAsia="Arial" w:cs="Arial"/>
          <w:color w:val="333333"/>
          <w:sz w:val="20"/>
          <w:highlight w:val="white"/>
        </w:rPr>
        <w:t xml:space="preserve">) </w:t>
      </w:r>
      <w:r/>
    </w:p>
    <w:p>
      <w:pPr>
        <w:ind w:left="0" w:right="0" w:firstLine="0"/>
        <w:spacing w:after="37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0"/>
          <w:highlight w:val="white"/>
        </w:rPr>
        <w:t xml:space="preserve">Региональные документы по сочинению 2024, на </w:t>
      </w:r>
      <w:hyperlink r:id="rId12" w:tooltip="http://coko.tomsk.ru/index.php/contents/page/56" w:history="1">
        <w:r>
          <w:rPr>
            <w:rStyle w:val="174"/>
            <w:rFonts w:ascii="Arial" w:hAnsi="Arial" w:eastAsia="Arial" w:cs="Arial"/>
            <w:b/>
            <w:color w:val="0000ff"/>
            <w:sz w:val="20"/>
            <w:highlight w:val="white"/>
            <w:u w:val="single"/>
          </w:rPr>
          <w:t xml:space="preserve">ЦОКО</w:t>
        </w:r>
      </w:hyperlink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0" Type="http://schemas.openxmlformats.org/officeDocument/2006/relationships/hyperlink" Target="https://opis-cdn.tinkoffjournal.ru/mercury/03_Obrazec_komplekta_tem.pdf" TargetMode="External"/><Relationship Id="rId11" Type="http://schemas.openxmlformats.org/officeDocument/2006/relationships/hyperlink" Target="https://fipi.ru/itogovoe-sochinenie" TargetMode="External"/><Relationship Id="rId12" Type="http://schemas.openxmlformats.org/officeDocument/2006/relationships/hyperlink" Target="http://coko.tomsk.ru/index.php/contents/page/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Девяшин</cp:lastModifiedBy>
  <cp:revision>3</cp:revision>
  <dcterms:created xsi:type="dcterms:W3CDTF">2024-11-19T06:04:00Z</dcterms:created>
  <dcterms:modified xsi:type="dcterms:W3CDTF">2024-11-19T09:09:18Z</dcterms:modified>
</cp:coreProperties>
</file>